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4B7EB8F5" w:rsidR="00B340AC" w:rsidRPr="00DC734B" w:rsidRDefault="007E0C97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Audited </w:t>
      </w:r>
      <w:r w:rsidR="00A34BF8" w:rsidRPr="00A34BF8">
        <w:rPr>
          <w:b/>
          <w:sz w:val="28"/>
          <w:szCs w:val="28"/>
          <w:u w:val="single"/>
        </w:rPr>
        <w:t xml:space="preserve">Expenditure Statement </w:t>
      </w:r>
      <w:r w:rsidR="0066791C">
        <w:rPr>
          <w:b/>
          <w:sz w:val="28"/>
          <w:szCs w:val="28"/>
          <w:u w:val="single"/>
        </w:rPr>
        <w:t>(</w:t>
      </w:r>
      <w:r w:rsidR="008E3084">
        <w:rPr>
          <w:b/>
          <w:sz w:val="28"/>
          <w:szCs w:val="28"/>
          <w:u w:val="single"/>
        </w:rPr>
        <w:t>BWN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59DD339D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 xml:space="preserve">This action definition describes the process for </w:t>
      </w:r>
      <w:r w:rsidR="008D2D17">
        <w:rPr>
          <w:sz w:val="24"/>
          <w:szCs w:val="24"/>
        </w:rPr>
        <w:t xml:space="preserve">submitting a </w:t>
      </w:r>
      <w:r w:rsidR="008226F9" w:rsidRPr="008226F9">
        <w:rPr>
          <w:sz w:val="24"/>
          <w:szCs w:val="24"/>
        </w:rPr>
        <w:t>Renewal Application</w:t>
      </w:r>
      <w:r w:rsidR="008D2D17" w:rsidRPr="008D2D17">
        <w:rPr>
          <w:sz w:val="24"/>
          <w:szCs w:val="24"/>
        </w:rPr>
        <w:t xml:space="preserve"> </w:t>
      </w:r>
      <w:r w:rsidR="00DC734B" w:rsidRPr="00DC734B">
        <w:rPr>
          <w:sz w:val="24"/>
          <w:szCs w:val="24"/>
        </w:rPr>
        <w:t xml:space="preserve">in </w:t>
      </w:r>
      <w:r w:rsidR="008E3084">
        <w:rPr>
          <w:sz w:val="24"/>
          <w:szCs w:val="24"/>
        </w:rPr>
        <w:t>BWN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16956852" w:rsidR="00A6052B" w:rsidRPr="00DC734B" w:rsidRDefault="007E0C97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Audited </w:t>
            </w:r>
            <w:r w:rsidR="00A34BF8" w:rsidRPr="00A34BF8">
              <w:rPr>
                <w:sz w:val="24"/>
                <w:szCs w:val="24"/>
              </w:rPr>
              <w:t>Expenditure Statement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05FB2B39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A6052B" w:rsidRPr="00DC734B" w14:paraId="0EA1A5CD" w14:textId="77777777" w:rsidTr="00123FB7">
        <w:tc>
          <w:tcPr>
            <w:tcW w:w="3403" w:type="dxa"/>
          </w:tcPr>
          <w:p w14:paraId="3EFE1F01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34F4B0F2" w:rsidR="00A6052B" w:rsidRPr="00DC734B" w:rsidRDefault="001029B0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Annually</w:t>
            </w:r>
          </w:p>
        </w:tc>
      </w:tr>
      <w:tr w:rsidR="0082309D" w:rsidRPr="00DC734B" w14:paraId="26918257" w14:textId="77777777" w:rsidTr="0082309D">
        <w:tc>
          <w:tcPr>
            <w:tcW w:w="3403" w:type="dxa"/>
          </w:tcPr>
          <w:p w14:paraId="6A62621E" w14:textId="77777777" w:rsidR="0082309D" w:rsidRPr="009B41F3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Anniversary</w:t>
            </w:r>
            <w:r w:rsidRPr="009B41F3">
              <w:rPr>
                <w:rStyle w:val="FootnoteReference"/>
                <w:sz w:val="24"/>
                <w:szCs w:val="24"/>
              </w:rPr>
              <w:footnoteReference w:id="2"/>
            </w:r>
            <w:r w:rsidRPr="009B4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3B24F2D8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</w:t>
            </w:r>
            <w:r w:rsidR="001506A6">
              <w:rPr>
                <w:sz w:val="24"/>
                <w:szCs w:val="24"/>
              </w:rPr>
              <w:t>commencement</w:t>
            </w:r>
            <w:r w:rsidR="00B86934" w:rsidRPr="00B86934">
              <w:rPr>
                <w:sz w:val="24"/>
                <w:szCs w:val="24"/>
              </w:rPr>
              <w:t xml:space="preserve">Date </w:t>
            </w:r>
            <w:r w:rsidR="000848D5">
              <w:rPr>
                <w:sz w:val="24"/>
                <w:szCs w:val="24"/>
              </w:rPr>
              <w:t>}</w:t>
            </w:r>
            <w:r w:rsidR="00646C8D">
              <w:rPr>
                <w:sz w:val="24"/>
                <w:szCs w:val="24"/>
              </w:rPr>
              <w:t xml:space="preserve"> + Interval</w:t>
            </w:r>
            <w:r w:rsidR="00CF30F6">
              <w:rPr>
                <w:sz w:val="24"/>
                <w:szCs w:val="24"/>
              </w:rPr>
              <w:t>- 1 year</w:t>
            </w:r>
          </w:p>
        </w:tc>
      </w:tr>
      <w:tr w:rsidR="0082309D" w:rsidRPr="00DC734B" w14:paraId="0E6A6630" w14:textId="77777777" w:rsidTr="000E3EC1">
        <w:tc>
          <w:tcPr>
            <w:tcW w:w="3403" w:type="dxa"/>
          </w:tcPr>
          <w:p w14:paraId="3742028C" w14:textId="77777777" w:rsidR="0082309D" w:rsidRPr="009B41F3" w:rsidRDefault="0082309D" w:rsidP="00EA1D77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Deadline</w:t>
            </w:r>
            <w:r w:rsidRPr="009B41F3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1FD86C89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{Critical Date}</w:t>
            </w:r>
            <w:r w:rsidR="004A1474">
              <w:rPr>
                <w:sz w:val="24"/>
                <w:szCs w:val="24"/>
              </w:rPr>
              <w:t>+</w:t>
            </w:r>
            <w:r w:rsidR="008D2D17">
              <w:rPr>
                <w:sz w:val="24"/>
                <w:szCs w:val="24"/>
              </w:rPr>
              <w:t xml:space="preserve"> </w:t>
            </w:r>
            <w:r w:rsidR="000F096C">
              <w:rPr>
                <w:sz w:val="24"/>
                <w:szCs w:val="24"/>
              </w:rPr>
              <w:t>3 months</w:t>
            </w:r>
            <w:r w:rsidR="00546E58">
              <w:rPr>
                <w:sz w:val="24"/>
                <w:szCs w:val="24"/>
              </w:rPr>
              <w:t>- 1 day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8E3084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17F519E4" w:rsidR="008E3084" w:rsidRPr="009B41F3" w:rsidRDefault="008E3084" w:rsidP="008E3084">
            <w:pPr>
              <w:rPr>
                <w:sz w:val="24"/>
                <w:szCs w:val="24"/>
              </w:rPr>
            </w:pPr>
            <w:r w:rsidRPr="006266AB">
              <w:t>BWN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5CCA488C" w:rsidR="008E3084" w:rsidRPr="009B41F3" w:rsidRDefault="008E3084" w:rsidP="008E3084">
            <w:pPr>
              <w:rPr>
                <w:sz w:val="24"/>
                <w:szCs w:val="24"/>
              </w:rPr>
            </w:pPr>
            <w:r w:rsidRPr="006266AB">
              <w:t>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8E3084" w:rsidRPr="009B41F3" w:rsidRDefault="008E3084" w:rsidP="008E3084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0BC44DC5" w:rsidR="003B5787" w:rsidRPr="000848D5" w:rsidRDefault="00A34BF8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</w:t>
            </w:r>
            <w:r w:rsidRPr="00A34BF8">
              <w:rPr>
                <w:sz w:val="24"/>
                <w:szCs w:val="24"/>
              </w:rPr>
              <w:t>Expenditure Statement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452197BB" w:rsidR="003B5787" w:rsidRPr="00DC734B" w:rsidRDefault="008D2D1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46629654" w:rsidR="0087599F" w:rsidRPr="000848D5" w:rsidRDefault="0087599F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34C6B6E1" w:rsidR="0087599F" w:rsidRPr="00BB5523" w:rsidRDefault="0087599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3F871CC1" w14:textId="7D404ADB" w:rsidR="009B41F3" w:rsidRDefault="009B41F3" w:rsidP="00451608">
      <w:pPr>
        <w:tabs>
          <w:tab w:val="left" w:pos="1418"/>
          <w:tab w:val="left" w:pos="4111"/>
        </w:tabs>
        <w:spacing w:after="80"/>
        <w:ind w:left="-284" w:right="-449"/>
        <w:rPr>
          <w:b/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4F7C35F4" w:rsidR="00AF149B" w:rsidRDefault="003D03CA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4BCE7A94" w:rsidR="00AF149B" w:rsidRDefault="003D03CA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20837AF0" w:rsidR="00AF149B" w:rsidRDefault="00613C89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613C89">
              <w:rPr>
                <w:sz w:val="24"/>
                <w:szCs w:val="24"/>
              </w:rPr>
              <w:t>Removed test examples and wiki links.</w:t>
            </w:r>
          </w:p>
        </w:tc>
      </w:tr>
      <w:tr w:rsidR="003D03CA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0779038D" w:rsidR="003D03CA" w:rsidRDefault="003D03CA" w:rsidP="003D03C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4889DD16" w:rsidR="003D03CA" w:rsidRDefault="003D03CA" w:rsidP="003D03C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6BF37CEA" w:rsidR="003D03CA" w:rsidRDefault="003D03CA" w:rsidP="003D03C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3D03CA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3D03CA" w:rsidRDefault="003D03CA" w:rsidP="003D03C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3D03CA" w:rsidRDefault="003D03CA" w:rsidP="003D03C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3D03CA" w:rsidRDefault="003D03CA" w:rsidP="003D03C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1AE4D7D6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838F45F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653854">
    <w:abstractNumId w:val="1"/>
  </w:num>
  <w:num w:numId="2" w16cid:durableId="111216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151"/>
    <w:rsid w:val="0003093B"/>
    <w:rsid w:val="00066966"/>
    <w:rsid w:val="00071274"/>
    <w:rsid w:val="0007297C"/>
    <w:rsid w:val="00073080"/>
    <w:rsid w:val="00074FE2"/>
    <w:rsid w:val="00080923"/>
    <w:rsid w:val="000848D5"/>
    <w:rsid w:val="00085A18"/>
    <w:rsid w:val="0009418F"/>
    <w:rsid w:val="000A4578"/>
    <w:rsid w:val="000A678E"/>
    <w:rsid w:val="000A6B62"/>
    <w:rsid w:val="000B3C2E"/>
    <w:rsid w:val="000C1DE0"/>
    <w:rsid w:val="000C2712"/>
    <w:rsid w:val="000E3EC1"/>
    <w:rsid w:val="000E5153"/>
    <w:rsid w:val="000F096C"/>
    <w:rsid w:val="000F2DDE"/>
    <w:rsid w:val="001029B0"/>
    <w:rsid w:val="00123FB7"/>
    <w:rsid w:val="001506A6"/>
    <w:rsid w:val="00163E67"/>
    <w:rsid w:val="00180743"/>
    <w:rsid w:val="00185B07"/>
    <w:rsid w:val="00192AEE"/>
    <w:rsid w:val="001B5FFA"/>
    <w:rsid w:val="001C613B"/>
    <w:rsid w:val="001E1FD5"/>
    <w:rsid w:val="00214D96"/>
    <w:rsid w:val="002221DA"/>
    <w:rsid w:val="00266B19"/>
    <w:rsid w:val="00274DCF"/>
    <w:rsid w:val="00281C31"/>
    <w:rsid w:val="002A49F9"/>
    <w:rsid w:val="002A67E5"/>
    <w:rsid w:val="002B522E"/>
    <w:rsid w:val="002B7D68"/>
    <w:rsid w:val="00331E4E"/>
    <w:rsid w:val="00334D03"/>
    <w:rsid w:val="0036466A"/>
    <w:rsid w:val="003735B5"/>
    <w:rsid w:val="003A582E"/>
    <w:rsid w:val="003B116C"/>
    <w:rsid w:val="003B5787"/>
    <w:rsid w:val="003D03CA"/>
    <w:rsid w:val="003D0742"/>
    <w:rsid w:val="004046D7"/>
    <w:rsid w:val="00417052"/>
    <w:rsid w:val="00426363"/>
    <w:rsid w:val="00433EC5"/>
    <w:rsid w:val="004345CF"/>
    <w:rsid w:val="00434670"/>
    <w:rsid w:val="00451608"/>
    <w:rsid w:val="0045568C"/>
    <w:rsid w:val="00481E35"/>
    <w:rsid w:val="0049354A"/>
    <w:rsid w:val="004A0C31"/>
    <w:rsid w:val="004A1474"/>
    <w:rsid w:val="004B70A8"/>
    <w:rsid w:val="004C7FAB"/>
    <w:rsid w:val="005031B3"/>
    <w:rsid w:val="00546E58"/>
    <w:rsid w:val="00551503"/>
    <w:rsid w:val="00596B28"/>
    <w:rsid w:val="005A6828"/>
    <w:rsid w:val="005E587B"/>
    <w:rsid w:val="005F12A7"/>
    <w:rsid w:val="00613C89"/>
    <w:rsid w:val="006158D6"/>
    <w:rsid w:val="0062371B"/>
    <w:rsid w:val="00646C8D"/>
    <w:rsid w:val="00657263"/>
    <w:rsid w:val="00662A33"/>
    <w:rsid w:val="0066791C"/>
    <w:rsid w:val="00683F3C"/>
    <w:rsid w:val="0068404D"/>
    <w:rsid w:val="006909EE"/>
    <w:rsid w:val="006A3414"/>
    <w:rsid w:val="006A7C15"/>
    <w:rsid w:val="006D72EF"/>
    <w:rsid w:val="00701A9E"/>
    <w:rsid w:val="00720331"/>
    <w:rsid w:val="00735FB9"/>
    <w:rsid w:val="00756DE8"/>
    <w:rsid w:val="00757F72"/>
    <w:rsid w:val="007614B0"/>
    <w:rsid w:val="0077091E"/>
    <w:rsid w:val="007D5CA7"/>
    <w:rsid w:val="007E0C97"/>
    <w:rsid w:val="008226F9"/>
    <w:rsid w:val="0082309D"/>
    <w:rsid w:val="00825BA6"/>
    <w:rsid w:val="0082619C"/>
    <w:rsid w:val="00837501"/>
    <w:rsid w:val="00845B16"/>
    <w:rsid w:val="00845CD6"/>
    <w:rsid w:val="00850DE2"/>
    <w:rsid w:val="00861F60"/>
    <w:rsid w:val="0087599F"/>
    <w:rsid w:val="008767A7"/>
    <w:rsid w:val="00887CC2"/>
    <w:rsid w:val="00890EB0"/>
    <w:rsid w:val="008D1D34"/>
    <w:rsid w:val="008D2D17"/>
    <w:rsid w:val="008E3084"/>
    <w:rsid w:val="0092651B"/>
    <w:rsid w:val="009352D8"/>
    <w:rsid w:val="00962A19"/>
    <w:rsid w:val="00980EF5"/>
    <w:rsid w:val="009862B0"/>
    <w:rsid w:val="00993C99"/>
    <w:rsid w:val="009A25DD"/>
    <w:rsid w:val="009B41F3"/>
    <w:rsid w:val="009C1606"/>
    <w:rsid w:val="009D34CF"/>
    <w:rsid w:val="009D6ECD"/>
    <w:rsid w:val="009E121B"/>
    <w:rsid w:val="00A34BF8"/>
    <w:rsid w:val="00A36DEB"/>
    <w:rsid w:val="00A6052B"/>
    <w:rsid w:val="00A61089"/>
    <w:rsid w:val="00A77FD2"/>
    <w:rsid w:val="00A847D4"/>
    <w:rsid w:val="00AD717D"/>
    <w:rsid w:val="00AF149B"/>
    <w:rsid w:val="00B03757"/>
    <w:rsid w:val="00B10495"/>
    <w:rsid w:val="00B27F47"/>
    <w:rsid w:val="00B340AC"/>
    <w:rsid w:val="00B4298D"/>
    <w:rsid w:val="00B54F4D"/>
    <w:rsid w:val="00B747CA"/>
    <w:rsid w:val="00B86934"/>
    <w:rsid w:val="00BA4A91"/>
    <w:rsid w:val="00BB0CDB"/>
    <w:rsid w:val="00BB5523"/>
    <w:rsid w:val="00BB7B98"/>
    <w:rsid w:val="00BC1794"/>
    <w:rsid w:val="00BD6DE1"/>
    <w:rsid w:val="00BE0D8A"/>
    <w:rsid w:val="00C2710F"/>
    <w:rsid w:val="00C36FE1"/>
    <w:rsid w:val="00C5027C"/>
    <w:rsid w:val="00C73B50"/>
    <w:rsid w:val="00C85294"/>
    <w:rsid w:val="00C91994"/>
    <w:rsid w:val="00CA19BF"/>
    <w:rsid w:val="00CE3C6E"/>
    <w:rsid w:val="00CF30F6"/>
    <w:rsid w:val="00D11982"/>
    <w:rsid w:val="00D40AE0"/>
    <w:rsid w:val="00D42262"/>
    <w:rsid w:val="00D42DA4"/>
    <w:rsid w:val="00D52DFB"/>
    <w:rsid w:val="00D73DC3"/>
    <w:rsid w:val="00D9049A"/>
    <w:rsid w:val="00DC0460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A1A06"/>
    <w:rsid w:val="00EA1D77"/>
    <w:rsid w:val="00EA5C0B"/>
    <w:rsid w:val="00ED7FB1"/>
    <w:rsid w:val="00F03F4C"/>
    <w:rsid w:val="00F05A31"/>
    <w:rsid w:val="00F06DC1"/>
    <w:rsid w:val="00F43B82"/>
    <w:rsid w:val="00F4507B"/>
    <w:rsid w:val="00F573AF"/>
    <w:rsid w:val="00F67A5E"/>
    <w:rsid w:val="00F732E9"/>
    <w:rsid w:val="00F864AE"/>
    <w:rsid w:val="00F87275"/>
    <w:rsid w:val="00F938F8"/>
    <w:rsid w:val="00FB28DF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E48401-D498-4D1E-80B8-E86EAAA0E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6E6FC-6E7C-45ED-9C77-95554457F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397C2A-5280-4FEA-BA43-749AA060D738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4</cp:revision>
  <dcterms:created xsi:type="dcterms:W3CDTF">2024-10-10T07:04:00Z</dcterms:created>
  <dcterms:modified xsi:type="dcterms:W3CDTF">2024-10-10T07:04:00Z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